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A" w:rsidRDefault="008609EA" w:rsidP="008609EA">
      <w:pPr>
        <w:shd w:val="clear" w:color="auto" w:fill="FFFFFF"/>
        <w:tabs>
          <w:tab w:val="center" w:pos="4677"/>
          <w:tab w:val="left" w:pos="7605"/>
          <w:tab w:val="left" w:pos="7695"/>
          <w:tab w:val="left" w:pos="7755"/>
        </w:tabs>
        <w:spacing w:before="192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61975" cy="7334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                                                                                                                 </w:t>
      </w:r>
    </w:p>
    <w:p w:rsidR="008609EA" w:rsidRDefault="008609EA" w:rsidP="008609EA">
      <w:pPr>
        <w:widowControl w:val="0"/>
        <w:shd w:val="clear" w:color="auto" w:fill="FFFFFF"/>
        <w:tabs>
          <w:tab w:val="left" w:pos="7755"/>
        </w:tabs>
        <w:autoSpaceDE w:val="0"/>
        <w:autoSpaceDN w:val="0"/>
        <w:adjustRightInd w:val="0"/>
        <w:spacing w:before="192"/>
        <w:ind w:left="528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НОВОЗЫБКОВСКИЙ РАЙОННЫЙ СОВЕТ НАРОДНЫХ  ДЕПУТАТОВ</w:t>
      </w:r>
    </w:p>
    <w:p w:rsidR="008609EA" w:rsidRDefault="008609EA" w:rsidP="008609EA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b/>
          <w:sz w:val="26"/>
          <w:szCs w:val="26"/>
        </w:rPr>
      </w:pPr>
      <w:r>
        <w:rPr>
          <w:b/>
          <w:color w:val="000000"/>
          <w:spacing w:val="-2"/>
          <w:w w:val="139"/>
          <w:sz w:val="26"/>
          <w:szCs w:val="26"/>
        </w:rPr>
        <w:t>РЕШЕНИЕ</w:t>
      </w:r>
    </w:p>
    <w:p w:rsidR="008609EA" w:rsidRDefault="008609EA" w:rsidP="008609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09EA" w:rsidRDefault="008609EA" w:rsidP="008609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29"/>
        <w:gridCol w:w="4942"/>
      </w:tblGrid>
      <w:tr w:rsidR="008609EA" w:rsidTr="006C13FE">
        <w:tc>
          <w:tcPr>
            <w:tcW w:w="4643" w:type="dxa"/>
            <w:hideMark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28 октября 2015 г.  № 14/3 </w:t>
            </w:r>
          </w:p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 Новозыбков</w:t>
            </w:r>
          </w:p>
        </w:tc>
        <w:tc>
          <w:tcPr>
            <w:tcW w:w="4963" w:type="dxa"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8609EA" w:rsidRDefault="008609EA" w:rsidP="008609E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09EA" w:rsidRDefault="008609EA" w:rsidP="008609E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09EA" w:rsidRDefault="008609EA" w:rsidP="008609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 налоге на имущество</w:t>
      </w:r>
    </w:p>
    <w:p w:rsidR="008609EA" w:rsidRDefault="008609EA" w:rsidP="008609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физических лиц</w:t>
      </w:r>
    </w:p>
    <w:p w:rsidR="008609EA" w:rsidRDefault="008609EA" w:rsidP="008609E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5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06.10.2003г. N 131-ФЗ "Об общих принципах организации местного самоуправления в Российской Федерации", главой 32 «Налог на имущество физических лиц» Налогового кодекса Российской Федерации, Законом Брянской области от 28.09.2015     № 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</w:t>
      </w:r>
      <w:proofErr w:type="gramEnd"/>
      <w:r>
        <w:rPr>
          <w:sz w:val="26"/>
          <w:szCs w:val="26"/>
        </w:rPr>
        <w:t xml:space="preserve"> объектов налогообложения», руководствуясь Уставом муниципального образования «Новозыбковский район», Новозыбковский районный  Совет народных  депутатов </w:t>
      </w: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и ввести в действие с 1 января 2016 года на территории Новозыбковского муниципального района  Брянской области налог на имущество физических лиц (далее – налог).</w:t>
      </w: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ставки </w:t>
      </w:r>
      <w:proofErr w:type="gramStart"/>
      <w:r>
        <w:rPr>
          <w:sz w:val="26"/>
          <w:szCs w:val="26"/>
        </w:rPr>
        <w:t>налога</w:t>
      </w:r>
      <w:proofErr w:type="gramEnd"/>
      <w:r>
        <w:rPr>
          <w:sz w:val="26"/>
          <w:szCs w:val="26"/>
        </w:rPr>
        <w:t xml:space="preserve"> на имущество физических лиц исходя из кадастровой стоимости объекта налогообложения в отношении:</w:t>
      </w: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2.1.жилых домов, жилых помещений (квартира, комната), единых недвижимых комплексов, в состав которых входит хотя бы одно жилое помещение (жилой дом),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 размерах:</w:t>
      </w:r>
      <w:proofErr w:type="gramEnd"/>
    </w:p>
    <w:p w:rsidR="008609EA" w:rsidRDefault="008609EA" w:rsidP="008609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8609EA" w:rsidTr="006C13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Кадастровая стоимость объекта </w:t>
            </w:r>
          </w:p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 налога</w:t>
            </w:r>
          </w:p>
        </w:tc>
      </w:tr>
      <w:tr w:rsidR="008609EA" w:rsidTr="006C13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2,5 млн. рублей (включительно)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 процента</w:t>
            </w:r>
          </w:p>
        </w:tc>
      </w:tr>
      <w:tr w:rsidR="008609EA" w:rsidTr="006C13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2,5 млн. рублей до 5,0 млн. рублей (включительно)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 процента</w:t>
            </w:r>
          </w:p>
        </w:tc>
      </w:tr>
      <w:tr w:rsidR="008609EA" w:rsidTr="006C13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5,0 млн. рублей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EA" w:rsidRDefault="008609EA" w:rsidP="006C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 процента</w:t>
            </w:r>
          </w:p>
        </w:tc>
      </w:tr>
    </w:tbl>
    <w:p w:rsidR="008609EA" w:rsidRDefault="008609EA" w:rsidP="008609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гаражей и </w:t>
      </w:r>
      <w:proofErr w:type="spellStart"/>
      <w:r>
        <w:rPr>
          <w:sz w:val="26"/>
          <w:szCs w:val="26"/>
        </w:rPr>
        <w:t>машино-мест</w:t>
      </w:r>
      <w:proofErr w:type="spellEnd"/>
      <w:r>
        <w:rPr>
          <w:sz w:val="26"/>
          <w:szCs w:val="26"/>
        </w:rPr>
        <w:t xml:space="preserve"> – в размере 0,1 процента кадастровой стоимости объекта налогообложения;</w:t>
      </w: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объектов незавершенного строительства в случае, если проектируемым назначением таких объектов является жилой дом, - в размере 0,3 процента кадастровой стоимости объекта налогообложения;</w:t>
      </w: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2.4.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- в размере 2,0 процентов кадастровой стоимости объекта налогообложения;</w:t>
      </w:r>
      <w:proofErr w:type="gramEnd"/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прочих объектов налогообложения – в размере 0,5 процента кадастровой стоимости объекта налогообложения.</w:t>
      </w:r>
    </w:p>
    <w:p w:rsidR="008609EA" w:rsidRDefault="008609EA" w:rsidP="008609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Налог подлежит уплате налогоплательщиками в срок не позднее 1 октября года, следующего за истекшим налоговым периодом.</w:t>
      </w:r>
    </w:p>
    <w:p w:rsidR="008609EA" w:rsidRDefault="008609EA" w:rsidP="008609EA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  4. Признать утратившим силу: решение Новозыбковского районного Совета народных депутатов от 26.11.2014 года № 3/3 "О налоге на имущество физических лиц».</w:t>
      </w:r>
    </w:p>
    <w:p w:rsidR="008609EA" w:rsidRDefault="008609EA" w:rsidP="008609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 Настоящее решение  вступает в силу с 1 января 2016 года, 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8609EA" w:rsidRDefault="008609EA" w:rsidP="008609EA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 6. Опубликовать решение в средствах массовой информации  и разместить на  официальном сайте Новозыбковского района.</w:t>
      </w:r>
    </w:p>
    <w:p w:rsidR="008609EA" w:rsidRDefault="008609EA" w:rsidP="008609EA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8609EA" w:rsidRDefault="008609EA" w:rsidP="008609E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609EA" w:rsidRDefault="008609EA" w:rsidP="008609EA">
      <w:pPr>
        <w:tabs>
          <w:tab w:val="left" w:pos="7020"/>
        </w:tabs>
        <w:rPr>
          <w:sz w:val="26"/>
          <w:szCs w:val="26"/>
        </w:rPr>
      </w:pPr>
    </w:p>
    <w:p w:rsidR="008609EA" w:rsidRDefault="008609EA" w:rsidP="008609EA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Глава  района</w:t>
      </w:r>
      <w:r>
        <w:rPr>
          <w:sz w:val="26"/>
          <w:szCs w:val="26"/>
        </w:rPr>
        <w:tab/>
        <w:t>В.И.Киреева</w:t>
      </w:r>
    </w:p>
    <w:p w:rsidR="005B02C8" w:rsidRDefault="005B02C8"/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EA"/>
    <w:rsid w:val="003B33D7"/>
    <w:rsid w:val="00483509"/>
    <w:rsid w:val="005B02C8"/>
    <w:rsid w:val="008609EA"/>
    <w:rsid w:val="00B712F5"/>
    <w:rsid w:val="00D3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EA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9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3018</Characters>
  <Application>Microsoft Office Word</Application>
  <DocSecurity>0</DocSecurity>
  <Lines>25</Lines>
  <Paragraphs>7</Paragraphs>
  <ScaleCrop>false</ScaleCrop>
  <Company>Home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2015-10-29T07:15:00Z</dcterms:created>
  <dcterms:modified xsi:type="dcterms:W3CDTF">2015-10-29T07:19:00Z</dcterms:modified>
</cp:coreProperties>
</file>